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02-12-2024 по 01-12-2025</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https://sci-info.marine-research.org/reports/grant/48/2025</w:t>
        </w:r>
      </w:hyperlink>
    </w:p>
    <w:p/>
    <w:p>
      <w:pPr/>
      <w:r>
        <w:rPr/>
        <w:t xml:space="preserve">Статья в периодическом издании</w:t>
      </w:r>
    </w:p>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Соломонова Е. С., Шоман Н. Ю., Акимов А. И. Дифференциальные реакции диатомовых и динофитовых микроводорослей на присутствие в среде гербицида глифосата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323-324. http://mhi-ras.ru/assets/files/morya_rossii-2024_tezisy.pdf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2026-10-10T20:03:19+03:00</dcterms:created>
  <dcterms:modified xsi:type="dcterms:W3CDTF">2026-10-10T20:03:19+03:00</dcterms:modified>
</cp:coreProperties>
</file>

<file path=docProps/custom.xml><?xml version="1.0" encoding="utf-8"?>
<Properties xmlns="http://schemas.openxmlformats.org/officeDocument/2006/custom-properties" xmlns:vt="http://schemas.openxmlformats.org/officeDocument/2006/docPropsVTypes"/>
</file>