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20-09-2026 12:16</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Книга, монография</w:t>
      </w:r>
    </w:p>
    <w:p/>
    <w:p>
      <w:pPr/>
      <w:r>
        <w:rPr/>
        <w:t xml:space="preserve">Chesalin M. V., Kelip A. A., Gorbunov R. V., Cherniy G. S., Gorbunova T. Yu., Jalludin M., Daher A., Djibril A. D. Atlas of perspective sites for mariculture development in the Republic of Djibouti / A. O. Kovalevsky Institute of Biology of the Southern Seas of RAS. Sevastopol : IBSS, 2026. 114 p.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Каширина Е. С., Горбунов Р. В., Керимов И. А., Горбунова Т. Ю., Дрыгваль П. В., Линёва Н. П., Братанов Н. С., Фам К. Н., Келип А. А., Дрыгваль А. В. Геохимические аномалии в бассейнах рек Северо-Восточного Кавказа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41-45.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Панкеева Т. В., Каширина Е. С. Пространственная организация ландшафтов бассейна реки Чёрная (г. Севастополь)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80-84.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Сафонова М. С. Изменение растительного покрова в бассейне реки Эль-Аси (Оронт) на основе анализа космических снимков MODIS и расчете вегетационного индекса NDVI: сравнительный анализ по странам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90-94.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Sow M. D., Алексеев Я. И., Горбунов Р. В., Монахова Ю. А., Шварцев А. А., Братанов Н. С., Михайлычева М. В., Фаерман А. В., Киселева М. В., Diakité S., Baldé A. M., Konaté L., Keita I., Diallo A. I. P. Структурно-функциональная организация бактериальных сообществ почв бассейна реки Фатала (Гвинейская Республика) // Биология – наука XXI века : сб. тез. 29-й Пущинской шк.-конф. молодых ученых с междунар. участием, 20–23 апреля 2026 г., Пущино, Россия. Пущино : ФИЦ ПНЦБИ РАН, 2026. С. 178-179. https://elibrary.ru/tmacnp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2026-09-20T12:16:14+03:00</dcterms:created>
  <dcterms:modified xsi:type="dcterms:W3CDTF">2026-09-20T12:16:14+03:00</dcterms:modified>
</cp:coreProperties>
</file>

<file path=docProps/custom.xml><?xml version="1.0" encoding="utf-8"?>
<Properties xmlns="http://schemas.openxmlformats.org/officeDocument/2006/custom-properties" xmlns:vt="http://schemas.openxmlformats.org/officeDocument/2006/docPropsVTypes"/>
</file>