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124030100107-9 «Экосистемы экстремальных местообитаний Азово-Черноморского бассейна и других регионов: биоразнообразие, функционирование, динамика и биоресурсный потенциал»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14-05-2026 11:26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https://sci-info.marine-research.org/reports/grant/44/2026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Shadrin N., Ostapchuk P., Prazukin A., Zubochenko D., Anufriieva E. The use of marine green macroalgae </w:t>
      </w:r>
      <w:r>
        <w:rPr>
          <w:i w:val="1"/>
          <w:iCs w:val="1"/>
        </w:rPr>
        <w:t xml:space="preserve">Cladophora</w:t>
      </w:r>
      <w:r>
        <w:rPr/>
        <w:t xml:space="preserve"> in animal farming to combat iodine deficiency offers both economic and environmental advantages. Review // Regional Studies in Marine Science. 2026. Vol. 97. Art. no. 105003 (9 p.). https://doi.org/10.1016/j.rsma.2026.105003 [БС 2][WoS][Scopus]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4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2026-05-14T11:26:10+03:00</dcterms:created>
  <dcterms:modified xsi:type="dcterms:W3CDTF">2026-05-14T11:26:10+03:00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